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865736" w:rsidRPr="00E960BB">
        <w:rPr>
          <w:rFonts w:ascii="Corbel" w:hAnsi="Corbel"/>
          <w:bCs/>
          <w:i/>
        </w:rPr>
        <w:t>UR</w:t>
      </w:r>
      <w:proofErr w:type="spellEnd"/>
      <w:r w:rsidR="00865736" w:rsidRPr="00E960BB">
        <w:rPr>
          <w:rFonts w:ascii="Corbel" w:hAnsi="Corbel"/>
          <w:bCs/>
          <w:i/>
        </w:rPr>
        <w:t xml:space="preserve">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E098992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1A3E46">
        <w:rPr>
          <w:rFonts w:ascii="Corbel" w:hAnsi="Corbel"/>
          <w:b/>
          <w:smallCaps/>
          <w:sz w:val="24"/>
          <w:szCs w:val="24"/>
        </w:rPr>
        <w:t>2022-2024</w:t>
      </w:r>
    </w:p>
    <w:p w14:paraId="0BB8FF11" w14:textId="5C967543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1A3E46">
        <w:rPr>
          <w:rFonts w:ascii="Corbel" w:eastAsia="Corbel" w:hAnsi="Corbel" w:cs="Corbel"/>
          <w:sz w:val="24"/>
          <w:szCs w:val="24"/>
        </w:rPr>
        <w:t>3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1A3E46">
        <w:rPr>
          <w:rFonts w:ascii="Corbel" w:eastAsia="Corbel" w:hAnsi="Corbel" w:cs="Corbel"/>
          <w:sz w:val="24"/>
          <w:szCs w:val="24"/>
        </w:rPr>
        <w:t>4</w:t>
      </w:r>
      <w:bookmarkStart w:id="0" w:name="_GoBack"/>
      <w:bookmarkEnd w:id="0"/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A87716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F35B2">
        <w:rPr>
          <w:rFonts w:ascii="Corbel" w:hAnsi="Corbel"/>
          <w:sz w:val="24"/>
          <w:szCs w:val="24"/>
        </w:rPr>
        <w:t>ECTS</w:t>
      </w:r>
      <w:proofErr w:type="spellEnd"/>
      <w:r w:rsidRPr="003F35B2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35B2" w:rsidRDefault="00A35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 xml:space="preserve">lub z wykorzystaniem platformy Ms </w:t>
      </w:r>
      <w:proofErr w:type="spellStart"/>
      <w:r w:rsidR="616867E3" w:rsidRPr="24E59F70">
        <w:rPr>
          <w:rFonts w:ascii="Corbel" w:hAnsi="Corbel"/>
        </w:rPr>
        <w:t>Teams</w:t>
      </w:r>
      <w:proofErr w:type="spellEnd"/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="00E23341" w:rsidRPr="003F35B2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 xml:space="preserve">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cykl inwestycyjny. Proces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dezinwestycji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Zalety i wady inwestycji typu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 Europie. Bariery rozwoju rynku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Finansowanie działalności gospodarczej z udziałem aniołów biznesu. Charakterystyka i klasyfikacja aniołów biznesu. Motywy działania aniołów biznesu. Aniołowie biznesu versus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>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dowych. Finansowanie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</w:t>
            </w:r>
            <w:proofErr w:type="spellEnd"/>
            <w:r w:rsidR="004B7DE4" w:rsidRPr="003F35B2">
              <w:rPr>
                <w:rFonts w:ascii="Corbel" w:hAnsi="Corbel"/>
                <w:sz w:val="24"/>
                <w:szCs w:val="24"/>
              </w:rPr>
              <w:t xml:space="preserve">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Crowdfunding,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social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lending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kłady kampanii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crowdfundingowych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F35B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F35B2">
        <w:rPr>
          <w:rFonts w:ascii="Corbel" w:hAnsi="Corbel"/>
          <w:b/>
          <w:sz w:val="24"/>
          <w:szCs w:val="24"/>
        </w:rPr>
        <w:t xml:space="preserve">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777777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F35B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F35B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F35B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Aniołowie biznesu w sektorze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MSP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Rifkin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Społeczeństwo zerowych kosztów krańcowych: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internet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Inwestycje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private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equity/venture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Key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Wyd.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UG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Migaszewski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Komisja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Euopejska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8D6DD" w14:textId="77777777" w:rsidR="00BD21E8" w:rsidRDefault="00BD21E8" w:rsidP="00C16ABF">
      <w:pPr>
        <w:spacing w:after="0" w:line="240" w:lineRule="auto"/>
      </w:pPr>
      <w:r>
        <w:separator/>
      </w:r>
    </w:p>
  </w:endnote>
  <w:endnote w:type="continuationSeparator" w:id="0">
    <w:p w14:paraId="0B3FF03C" w14:textId="77777777" w:rsidR="00BD21E8" w:rsidRDefault="00BD21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3D350" w14:textId="77777777" w:rsidR="00BD21E8" w:rsidRDefault="00BD21E8" w:rsidP="00C16ABF">
      <w:pPr>
        <w:spacing w:after="0" w:line="240" w:lineRule="auto"/>
      </w:pPr>
      <w:r>
        <w:separator/>
      </w:r>
    </w:p>
  </w:footnote>
  <w:footnote w:type="continuationSeparator" w:id="0">
    <w:p w14:paraId="6663DDF8" w14:textId="77777777" w:rsidR="00BD21E8" w:rsidRDefault="00BD21E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3E46"/>
    <w:rsid w:val="001A5336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87716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21E8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27A7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922D3-DD82-4DB9-9EA3-2E7C0720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984</Words>
  <Characters>5908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11</cp:revision>
  <cp:lastPrinted>2017-06-02T04:47:00Z</cp:lastPrinted>
  <dcterms:created xsi:type="dcterms:W3CDTF">2020-12-21T10:54:00Z</dcterms:created>
  <dcterms:modified xsi:type="dcterms:W3CDTF">2022-02-11T12:40:00Z</dcterms:modified>
</cp:coreProperties>
</file>